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8770" w14:textId="7DF95F6E" w:rsidR="00C664AE" w:rsidRDefault="009677AB" w:rsidP="004559F2">
      <w:pPr>
        <w:pStyle w:val="Heading1"/>
      </w:pPr>
      <w:bookmarkStart w:id="0" w:name="_Hlk47603699"/>
      <w:r>
        <w:t xml:space="preserve">How to </w:t>
      </w:r>
      <w:r w:rsidR="00A731BD">
        <w:t>use this submission template</w:t>
      </w:r>
    </w:p>
    <w:p w14:paraId="72C55FD8" w14:textId="59C4E804" w:rsidR="00C664AE" w:rsidRDefault="00A731BD" w:rsidP="0073472C">
      <w:pPr>
        <w:pStyle w:val="Heading3"/>
      </w:pPr>
      <w:bookmarkStart w:id="1" w:name="_5qh9mvclom9c" w:colFirst="0" w:colLast="0"/>
      <w:bookmarkEnd w:id="1"/>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 xml:space="preserve">We are interested in any views you have. If you </w:t>
      </w:r>
      <w:proofErr w:type="gramStart"/>
      <w:r>
        <w:t>are able to</w:t>
      </w:r>
      <w:proofErr w:type="gramEnd"/>
      <w:r>
        <w:t xml:space="preserve">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8">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9"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2" w:name="_j7a5r6sxq7hq" w:colFirst="0" w:colLast="0"/>
      <w:bookmarkEnd w:id="2"/>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w:t>
      </w:r>
      <w:proofErr w:type="gramStart"/>
      <w:r>
        <w:t>in the course of</w:t>
      </w:r>
      <w:proofErr w:type="gramEnd"/>
      <w:r>
        <w:t xml:space="preserve">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0">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3" w:name="_ja2n79uwih8" w:colFirst="0" w:colLast="0"/>
      <w:bookmarkEnd w:id="3"/>
      <w:r>
        <w:t>Permission to reproduce</w:t>
      </w:r>
    </w:p>
    <w:p w14:paraId="5A3071B5" w14:textId="77777777" w:rsidR="00C664AE" w:rsidRDefault="009677AB">
      <w:r>
        <w:t xml:space="preserve">This work is licensed under a </w:t>
      </w:r>
      <w:hyperlink r:id="rId11">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4" w:name="_ilol8xds9s04" w:colFirst="0" w:colLast="0"/>
      <w:bookmarkEnd w:id="4"/>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1EAB5C21" w:rsidR="00A731BD" w:rsidRDefault="004C0693" w:rsidP="004B61D4">
            <w:r>
              <w:t>Michael Homer</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36E50031"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7C3275FA" w:rsidR="00A731BD" w:rsidRDefault="00A731BD" w:rsidP="004B61D4"/>
        </w:tc>
      </w:tr>
    </w:tbl>
    <w:p w14:paraId="4F37CBEA" w14:textId="70EE05CE" w:rsidR="00A731BD" w:rsidRDefault="0074596F"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F37AC0">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1D325B61" w:rsidR="003E2828" w:rsidRPr="004B61D4" w:rsidRDefault="0074596F" w:rsidP="003E2828">
      <w:sdt>
        <w:sdtPr>
          <w:id w:val="1981337871"/>
          <w14:checkbox>
            <w14:checked w14:val="1"/>
            <w14:checkedState w14:val="2612" w14:font="MS Gothic"/>
            <w14:uncheckedState w14:val="2610" w14:font="MS Gothic"/>
          </w14:checkbox>
        </w:sdtPr>
        <w:sdtEndPr/>
        <w:sdtContent>
          <w:r w:rsidR="00F37AC0">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06C259DB" w:rsidR="00A731BD" w:rsidRPr="004B61D4" w:rsidRDefault="0074596F" w:rsidP="004B61D4">
      <w:sdt>
        <w:sdtPr>
          <w:rPr>
            <w:rFonts w:ascii="MS Gothic" w:eastAsia="MS Gothic" w:hAnsi="MS Gothic"/>
          </w:rPr>
          <w:id w:val="1625419757"/>
          <w14:checkbox>
            <w14:checked w14:val="0"/>
            <w14:checkedState w14:val="2612" w14:font="MS Gothic"/>
            <w14:uncheckedState w14:val="2610" w14:font="MS Gothic"/>
          </w14:checkbox>
        </w:sdtPr>
        <w:sdtEnd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w:t>
      </w:r>
      <w:proofErr w:type="gramStart"/>
      <w:r>
        <w:rPr>
          <w:b/>
        </w:rPr>
        <w:t>trusted</w:t>
      </w:r>
      <w:proofErr w:type="gramEnd"/>
      <w:r>
        <w:rPr>
          <w:b/>
        </w:rPr>
        <w:t xml:space="preserve">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w:t>
      </w:r>
      <w:proofErr w:type="gramStart"/>
      <w:r>
        <w:t>innovate</w:t>
      </w:r>
      <w:proofErr w:type="gramEnd"/>
      <w:r>
        <w:t xml:space="preserv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cultural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 xml:space="preserve">The .nz domain space should help people, businesses and </w:t>
      </w:r>
      <w:proofErr w:type="spellStart"/>
      <w:r>
        <w:t>organisations</w:t>
      </w:r>
      <w:proofErr w:type="spellEnd"/>
      <w:r>
        <w:t xml:space="preserve"> connect, create, </w:t>
      </w:r>
      <w:proofErr w:type="gramStart"/>
      <w:r>
        <w:t>innovate</w:t>
      </w:r>
      <w:proofErr w:type="gramEnd"/>
      <w:r>
        <w:t xml:space="preserve"> and grow.</w:t>
      </w:r>
    </w:p>
    <w:p w14:paraId="427B395B" w14:textId="09F96765" w:rsidR="00C664AE" w:rsidRDefault="00C664AE" w:rsidP="00F02CFF">
      <w:pPr>
        <w:rPr>
          <w:color w:val="000000"/>
        </w:rPr>
      </w:pPr>
    </w:p>
    <w:p w14:paraId="0C5432BA" w14:textId="77777777" w:rsidR="00C664AE" w:rsidRDefault="009677AB" w:rsidP="0073472C">
      <w:pPr>
        <w:pStyle w:val="Heading3"/>
      </w:pPr>
      <w:bookmarkStart w:id="5" w:name="_z05jtlfr423i" w:colFirst="0" w:colLast="0"/>
      <w:bookmarkEnd w:id="5"/>
      <w:r>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8D682EC" w14:textId="77777777" w:rsidR="00381848" w:rsidRDefault="00C74E9D">
            <w:pPr>
              <w:spacing w:after="0"/>
            </w:pPr>
            <w:r>
              <w:t>Options B and C appear to have a potential/likely overlap (option C, followed by option B thereafter), but the options as stated do not suggest this. A list of the five languages in question would be useful, and from the last census appears to include English, Māori, Samoan, Chinese, and Hindi (Devanagari). Presumably, these would continue to be permitted if this ordering changed.</w:t>
            </w:r>
          </w:p>
          <w:p w14:paraId="2161D8A0" w14:textId="77777777" w:rsidR="00381848" w:rsidRDefault="00381848">
            <w:pPr>
              <w:spacing w:after="0"/>
            </w:pPr>
          </w:p>
          <w:p w14:paraId="01C1065D" w14:textId="447B469C" w:rsidR="00787D05" w:rsidRDefault="00787D05">
            <w:pPr>
              <w:spacing w:after="0"/>
            </w:pPr>
            <w:r>
              <w:t xml:space="preserve">Accented Latin characters are </w:t>
            </w:r>
            <w:r w:rsidR="000D3B18">
              <w:t xml:space="preserve">therefore </w:t>
            </w:r>
            <w:r>
              <w:t>largely not included</w:t>
            </w:r>
            <w:r w:rsidR="000D3B18">
              <w:t xml:space="preserve">, which perhaps </w:t>
            </w:r>
            <w:proofErr w:type="spellStart"/>
            <w:r w:rsidR="000D3B18">
              <w:t>minimises</w:t>
            </w:r>
            <w:proofErr w:type="spellEnd"/>
            <w:r w:rsidR="000D3B18">
              <w:t xml:space="preserve"> the security </w:t>
            </w:r>
            <w:r w:rsidR="00E934C7">
              <w:t>issues of visually-ambiguous names (though French does appear shortly afterwards).</w:t>
            </w:r>
            <w:r w:rsidR="00381848">
              <w:t xml:space="preserve"> However, there are a range of diacritics used </w:t>
            </w:r>
            <w:r w:rsidR="00974CDE">
              <w:t xml:space="preserve">with Latin characters </w:t>
            </w:r>
            <w:r w:rsidR="00381848">
              <w:t>within English text</w:t>
            </w:r>
            <w:r w:rsidR="0002571A">
              <w:t>,</w:t>
            </w:r>
            <w:r w:rsidR="00381848">
              <w:t xml:space="preserve"> </w:t>
            </w:r>
            <w:r w:rsidR="000B0982">
              <w:t xml:space="preserve">in loanwords </w:t>
            </w:r>
            <w:r w:rsidR="00796F37">
              <w:t xml:space="preserve">(café, </w:t>
            </w:r>
            <w:proofErr w:type="spellStart"/>
            <w:r w:rsidR="000C1FDC" w:rsidRPr="000C1FDC">
              <w:t>föhn</w:t>
            </w:r>
            <w:proofErr w:type="spellEnd"/>
            <w:r w:rsidR="000C1FDC">
              <w:t>,</w:t>
            </w:r>
            <w:r w:rsidR="00796F37">
              <w:t xml:space="preserve"> jalapeñ</w:t>
            </w:r>
            <w:r w:rsidR="0000343A">
              <w:t>o</w:t>
            </w:r>
            <w:r w:rsidR="00796F37">
              <w:t>)</w:t>
            </w:r>
            <w:r w:rsidR="0002571A">
              <w:t>,</w:t>
            </w:r>
            <w:r w:rsidR="00387C9F">
              <w:t xml:space="preserve"> and </w:t>
            </w:r>
            <w:r w:rsidR="0002571A">
              <w:t xml:space="preserve">in </w:t>
            </w:r>
            <w:r w:rsidR="00387C9F">
              <w:t>proper nouns</w:t>
            </w:r>
            <w:r w:rsidR="00F42F49">
              <w:t>,</w:t>
            </w:r>
            <w:r w:rsidR="00387C9F">
              <w:t xml:space="preserve"> that </w:t>
            </w:r>
            <w:r w:rsidR="000A602D">
              <w:t>represent a relatively-small number of characters</w:t>
            </w:r>
            <w:r w:rsidR="00942A62">
              <w:t xml:space="preserve"> but enhanced accessibility for some uses</w:t>
            </w:r>
            <w:r w:rsidR="0058171A">
              <w:t>, while also covering a range of Latin-script languages</w:t>
            </w:r>
            <w:r w:rsidR="006974B8">
              <w:t xml:space="preserve"> in one go</w:t>
            </w:r>
            <w:r w:rsidR="00942A62">
              <w:t>.</w:t>
            </w:r>
            <w:r w:rsidR="006974B8">
              <w:t xml:space="preserve"> I would support permitting these characters as a group in the early phase as well</w:t>
            </w:r>
            <w:r w:rsidR="0036515F">
              <w:t xml:space="preserve">, should </w:t>
            </w:r>
            <w:r w:rsidR="009572B7">
              <w:t>security concerns be able to be addressed</w:t>
            </w:r>
            <w:r w:rsidR="008E0F4A">
              <w:t>.</w:t>
            </w:r>
            <w:r w:rsidR="006F51C3">
              <w:t xml:space="preserve"> I expect that any demand-based process would result in </w:t>
            </w:r>
            <w:r w:rsidR="001179BB">
              <w:t xml:space="preserve">most of these being included </w:t>
            </w:r>
            <w:r w:rsidR="00D4129F">
              <w:t xml:space="preserve">eventually </w:t>
            </w:r>
            <w:r w:rsidR="001179BB">
              <w:t>anyway</w:t>
            </w:r>
            <w:r w:rsidR="006974B8">
              <w:t>.</w:t>
            </w:r>
          </w:p>
          <w:p w14:paraId="05C986A8" w14:textId="77777777" w:rsidR="00C74E9D" w:rsidRDefault="00C74E9D">
            <w:pPr>
              <w:spacing w:after="0"/>
            </w:pPr>
          </w:p>
          <w:p w14:paraId="1CE66D58" w14:textId="5237F739" w:rsidR="00D37290" w:rsidRDefault="004C0693">
            <w:pPr>
              <w:spacing w:after="0"/>
            </w:pPr>
            <w:r>
              <w:t xml:space="preserve">The option to allow further characters beyond five languages is omitted, as is including non-language characters such as the grinning face </w:t>
            </w:r>
            <w:r w:rsidR="00D37290">
              <w:t xml:space="preserve">in the Punycode example. While symbol-based domain names are of questionable usability, it is not </w:t>
            </w:r>
            <w:r w:rsidR="00087493">
              <w:t xml:space="preserve">unequivocally </w:t>
            </w:r>
            <w:r w:rsidR="00D37290">
              <w:t xml:space="preserve">clear that </w:t>
            </w:r>
            <w:r w:rsidR="00D37290">
              <w:lastRenderedPageBreak/>
              <w:t>they are undesirable</w:t>
            </w:r>
            <w:r w:rsidR="00D1259D">
              <w:t xml:space="preserve"> </w:t>
            </w:r>
            <w:r w:rsidR="00CE193B">
              <w:t xml:space="preserve">(even √2.net is arguably useful) and these should be considered, even if </w:t>
            </w:r>
            <w:r w:rsidR="004E1FF8">
              <w:t xml:space="preserve">ultimately </w:t>
            </w:r>
            <w:r w:rsidR="00CE193B">
              <w:t>dismissed</w:t>
            </w:r>
            <w:r w:rsidR="00D1259D">
              <w:t>.</w:t>
            </w:r>
          </w:p>
          <w:p w14:paraId="1AB8CFF6" w14:textId="0519DDFA" w:rsidR="00D37290" w:rsidRPr="004C0693" w:rsidRDefault="00D37290">
            <w:pPr>
              <w:spacing w:after="0"/>
            </w:pP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1233239" w14:textId="1FCA73CF" w:rsidR="00DE5FF8" w:rsidRPr="00D64A72" w:rsidRDefault="00D64A72">
            <w:pPr>
              <w:spacing w:after="0"/>
            </w:pPr>
            <w:r>
              <w:t>I would prefer the maximal widening of codepoints</w:t>
            </w:r>
            <w:r w:rsidR="00D1259D">
              <w:t xml:space="preserve"> even beyond these options, and only Option B as proposed permits such expansion. </w:t>
            </w:r>
            <w:r w:rsidR="006447E7">
              <w:t>However, a somewhat-extended Option C</w:t>
            </w:r>
            <w:r w:rsidR="0083086B">
              <w:t>-then-B</w:t>
            </w:r>
            <w:r w:rsidR="006447E7">
              <w:t xml:space="preserve"> </w:t>
            </w:r>
            <w:r w:rsidR="0083086B">
              <w:t>would be ideal.</w:t>
            </w:r>
          </w:p>
        </w:tc>
      </w:tr>
    </w:tbl>
    <w:p w14:paraId="696D4D14" w14:textId="77777777" w:rsidR="00C664AE" w:rsidRDefault="00C664AE"/>
    <w:p w14:paraId="2132EC7B" w14:textId="77777777" w:rsidR="00C664AE" w:rsidRDefault="009677AB" w:rsidP="0073472C">
      <w:pPr>
        <w:pStyle w:val="Heading3"/>
      </w:pPr>
      <w:bookmarkStart w:id="6" w:name="_ivip09f8jxfl" w:colFirst="0" w:colLast="0"/>
      <w:bookmarkEnd w:id="6"/>
      <w:r>
        <w:t>No geographical limits on registrants</w:t>
      </w:r>
    </w:p>
    <w:p w14:paraId="7B5AF0A8" w14:textId="3EA03809" w:rsidR="00C664AE" w:rsidRPr="00DE5FF8" w:rsidRDefault="009677AB" w:rsidP="002E5E4F">
      <w:pPr>
        <w:pStyle w:val="ListParagraph"/>
        <w:numPr>
          <w:ilvl w:val="0"/>
          <w:numId w:val="7"/>
        </w:numPr>
      </w:pPr>
      <w:bookmarkStart w:id="7" w:name="_ot2537ky1o8r" w:colFirst="0" w:colLast="0"/>
      <w:bookmarkEnd w:id="7"/>
      <w:r>
        <w:t>Option A: The current situation</w:t>
      </w:r>
    </w:p>
    <w:p w14:paraId="6ACF682C" w14:textId="77777777" w:rsidR="00C664AE" w:rsidRDefault="009677AB" w:rsidP="002E5E4F">
      <w:pPr>
        <w:pStyle w:val="ListParagraph"/>
        <w:numPr>
          <w:ilvl w:val="0"/>
          <w:numId w:val="7"/>
        </w:numPr>
      </w:pPr>
      <w:bookmarkStart w:id="8" w:name="_rk0sqqh8tv8m" w:colFirst="0" w:colLast="0"/>
      <w:bookmarkEnd w:id="8"/>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9" w:name="_hjascn54250z" w:colFirst="0" w:colLast="0"/>
      <w:bookmarkEnd w:id="9"/>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63002F"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380E146A" w:rsidR="0063002F" w:rsidRDefault="0063002F" w:rsidP="0063002F">
            <w:pPr>
              <w:widowControl w:val="0"/>
              <w:spacing w:after="0" w:line="240" w:lineRule="auto"/>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333DE5DE" w14:textId="0F31F197" w:rsidR="0063002F" w:rsidRDefault="0063002F">
            <w:pPr>
              <w:spacing w:after="0"/>
              <w:rPr>
                <w:color w:val="FFFFFF"/>
              </w:rPr>
            </w:pPr>
            <w:r>
              <w:rPr>
                <w:color w:val="FFFFFF"/>
              </w:rPr>
              <w:t>Which option do you prefer? Why?</w:t>
            </w:r>
          </w:p>
        </w:tc>
      </w:tr>
      <w:tr w:rsidR="0063002F"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63002F" w:rsidRDefault="0063002F">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A0DE17C" w14:textId="77777777" w:rsidR="0063002F" w:rsidRDefault="0063002F">
            <w:pPr>
              <w:spacing w:after="0"/>
            </w:pPr>
            <w:r>
              <w:t xml:space="preserve">I am somewhat supportive of a modified version of option C. </w:t>
            </w:r>
            <w:r w:rsidRPr="00F37AC0">
              <w:t>At present, there are large numbers of overseas-based “squatters” occupying much of the .</w:t>
            </w:r>
            <w:proofErr w:type="spellStart"/>
            <w:r w:rsidRPr="00F37AC0">
              <w:t>nz</w:t>
            </w:r>
            <w:proofErr w:type="spellEnd"/>
            <w:r w:rsidRPr="00F37AC0">
              <w:t xml:space="preserve"> domain space</w:t>
            </w:r>
            <w:r>
              <w:t>, and this change would eliminate that; however, incorporating a New Zealand company to act as legal owner is trivial and the commercial operations likely would, so the true impact may be limited.</w:t>
            </w:r>
          </w:p>
          <w:p w14:paraId="51900B4B" w14:textId="77777777" w:rsidR="0063002F" w:rsidRPr="00F37AC0" w:rsidRDefault="0063002F">
            <w:pPr>
              <w:spacing w:after="0"/>
            </w:pPr>
          </w:p>
          <w:p w14:paraId="1E0E0D65" w14:textId="2B827A7A" w:rsidR="0063002F" w:rsidRDefault="0063002F">
            <w:pPr>
              <w:spacing w:after="0"/>
            </w:pPr>
            <w:r w:rsidRPr="00F37AC0">
              <w:t xml:space="preserve">The </w:t>
            </w:r>
            <w:r>
              <w:t xml:space="preserve">second “requiring” of the two “either” options </w:t>
            </w:r>
            <w:proofErr w:type="gramStart"/>
            <w:r>
              <w:t>is</w:t>
            </w:r>
            <w:proofErr w:type="gramEnd"/>
            <w:r>
              <w:t xml:space="preserve"> at once too strict (to individuals) and too relaxed (to other entities). Individual New Zealand residents who are neither citizens nor permanent residents ought to be able to register  domain names. The first branch, requiring “a legal presence in New Zealand” appears to permit this. Requiring that overseas entities only “trade in New Zealand” is too weak </w:t>
            </w:r>
            <w:r w:rsidR="004A325D">
              <w:t>in the absence of</w:t>
            </w:r>
            <w:r>
              <w:t xml:space="preserve"> further definition.</w:t>
            </w:r>
          </w:p>
          <w:p w14:paraId="1C24AAAB" w14:textId="77777777" w:rsidR="0063002F" w:rsidRDefault="0063002F">
            <w:pPr>
              <w:spacing w:after="0"/>
            </w:pPr>
          </w:p>
          <w:p w14:paraId="45B426D5" w14:textId="77777777" w:rsidR="0063002F" w:rsidRPr="006D6622" w:rsidRDefault="0063002F">
            <w:pPr>
              <w:spacing w:after="0"/>
            </w:pPr>
            <w:r>
              <w:t>I would instead suggest a pair of limitations:</w:t>
            </w:r>
          </w:p>
          <w:p w14:paraId="2B428283" w14:textId="77777777" w:rsidR="0063002F" w:rsidRDefault="0063002F" w:rsidP="006D6622">
            <w:pPr>
              <w:pStyle w:val="ListParagraph"/>
              <w:numPr>
                <w:ilvl w:val="0"/>
                <w:numId w:val="29"/>
              </w:numPr>
              <w:spacing w:after="0"/>
            </w:pPr>
            <w:r>
              <w:lastRenderedPageBreak/>
              <w:t>Individuals to be resident in New Zealand, or New Zealand citizens or permanent residents</w:t>
            </w:r>
          </w:p>
          <w:p w14:paraId="319599DB" w14:textId="77777777" w:rsidR="0063002F" w:rsidRDefault="0063002F" w:rsidP="006D6622">
            <w:pPr>
              <w:pStyle w:val="ListParagraph"/>
              <w:numPr>
                <w:ilvl w:val="0"/>
                <w:numId w:val="29"/>
              </w:numPr>
              <w:spacing w:after="0"/>
            </w:pPr>
            <w:r>
              <w:t>All registrants other than individuals to be entities established, registered, or incorporated under New Zealand law</w:t>
            </w:r>
          </w:p>
          <w:p w14:paraId="533C3E39" w14:textId="77777777" w:rsidR="0063002F" w:rsidRDefault="0063002F" w:rsidP="006D6622">
            <w:pPr>
              <w:spacing w:after="0"/>
            </w:pPr>
          </w:p>
          <w:p w14:paraId="7C1A78E5" w14:textId="492BFE7A" w:rsidR="0063002F" w:rsidRDefault="0063002F">
            <w:pPr>
              <w:spacing w:after="0"/>
              <w:rPr>
                <w:color w:val="FFFFFF"/>
              </w:rPr>
            </w:pPr>
            <w:r>
              <w:t>Option B is not a genuine option, since there is no practical approach to this education in any meaningful way, and it represents only a resource sink. Option A is adequate as the status quo.</w:t>
            </w:r>
          </w:p>
        </w:tc>
      </w:tr>
    </w:tbl>
    <w:p w14:paraId="30962089" w14:textId="77777777" w:rsidR="00C664AE" w:rsidRDefault="00C664AE"/>
    <w:p w14:paraId="0CF4E781" w14:textId="77777777" w:rsidR="00C664AE" w:rsidRDefault="009677AB" w:rsidP="00DE5FF8">
      <w:pPr>
        <w:pStyle w:val="Heading2"/>
      </w:pPr>
      <w:bookmarkStart w:id="10" w:name="_uep6mxa90z9o" w:colFirst="0" w:colLast="0"/>
      <w:bookmarkStart w:id="11" w:name="_quref956csss" w:colFirst="0" w:colLast="0"/>
      <w:bookmarkEnd w:id="10"/>
      <w:bookmarkEnd w:id="11"/>
      <w:r>
        <w:t>Security and trust</w:t>
      </w:r>
    </w:p>
    <w:p w14:paraId="4ADA1320" w14:textId="77777777" w:rsidR="00C664AE" w:rsidRDefault="009677AB" w:rsidP="0073472C">
      <w:pPr>
        <w:pStyle w:val="Heading3"/>
      </w:pPr>
      <w:bookmarkStart w:id="12" w:name="_dyxppnbgi50j" w:colFirst="0" w:colLast="0"/>
      <w:bookmarkEnd w:id="12"/>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54D2CC96" w:rsidR="00DE5FF8" w:rsidRDefault="005A0097">
            <w:pPr>
              <w:spacing w:after="0"/>
              <w:rPr>
                <w:color w:val="FFFFFF"/>
              </w:rPr>
            </w:pPr>
            <w:r>
              <w:t xml:space="preserve">I prefer every option to Option C, which appears to delegate enormous authority to miscellaneous </w:t>
            </w:r>
            <w:proofErr w:type="spellStart"/>
            <w:r>
              <w:t>organisations</w:t>
            </w:r>
            <w:proofErr w:type="spellEnd"/>
            <w:r w:rsidR="009A0EC0">
              <w:t xml:space="preserve"> without a clear process for determining the</w:t>
            </w:r>
            <w:r w:rsidR="00AE282E">
              <w:t>se or having any insight into their internal processes</w:t>
            </w:r>
            <w:r>
              <w:t>. Of the remainder, option D may be the most suitable given the policy goals, but Option A is adequate under resource constraints.</w:t>
            </w:r>
          </w:p>
        </w:tc>
      </w:tr>
    </w:tbl>
    <w:p w14:paraId="3C5D9CE2" w14:textId="77777777" w:rsidR="00C664AE" w:rsidRDefault="00C664AE" w:rsidP="000978F6"/>
    <w:p w14:paraId="6E584E49" w14:textId="77777777" w:rsidR="00C664AE" w:rsidRDefault="009677AB" w:rsidP="0073472C">
      <w:pPr>
        <w:pStyle w:val="Heading3"/>
      </w:pPr>
      <w:bookmarkStart w:id="13" w:name="_gva0jncemsgs" w:colFirst="0" w:colLast="0"/>
      <w:bookmarkEnd w:id="13"/>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lastRenderedPageBreak/>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0978F6"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1C2D929C" w:rsidR="000978F6" w:rsidRDefault="000978F6">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59E9E2AA" w14:textId="4A6036E7" w:rsidR="000978F6" w:rsidRDefault="000978F6">
            <w:pPr>
              <w:spacing w:after="0"/>
              <w:rPr>
                <w:color w:val="FFFFFF"/>
              </w:rPr>
            </w:pPr>
            <w:r>
              <w:rPr>
                <w:color w:val="FFFFFF"/>
              </w:rPr>
              <w:t xml:space="preserve">Which option do you prefer? Why? </w:t>
            </w:r>
          </w:p>
        </w:tc>
      </w:tr>
      <w:tr w:rsidR="000978F6"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0978F6" w:rsidRDefault="000978F6">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083BF7" w14:textId="68271262" w:rsidR="000978F6" w:rsidRDefault="000978F6">
            <w:pPr>
              <w:spacing w:after="0"/>
              <w:rPr>
                <w:color w:val="FFFFFF"/>
              </w:rPr>
            </w:pPr>
            <w:r>
              <w:t>Option B is the only one with realistic likelihood of improving the situation, with phased introduction to make it practical.</w:t>
            </w:r>
          </w:p>
        </w:tc>
      </w:tr>
    </w:tbl>
    <w:p w14:paraId="6775D48A" w14:textId="0660B0A6" w:rsidR="00C664AE" w:rsidRDefault="009677AB" w:rsidP="00DE5FF8">
      <w:pPr>
        <w:pStyle w:val="Heading2"/>
      </w:pPr>
      <w:r>
        <w:t>Conflicted domain names</w:t>
      </w:r>
    </w:p>
    <w:p w14:paraId="327B33A1" w14:textId="77777777" w:rsidR="00C664AE" w:rsidRDefault="009677AB" w:rsidP="0073472C">
      <w:pPr>
        <w:pStyle w:val="Heading3"/>
      </w:pPr>
      <w:bookmarkStart w:id="14" w:name="_cr33qadce9e7" w:colFirst="0" w:colLast="0"/>
      <w:bookmarkEnd w:id="14"/>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15" w:name="_ww9tcqc7oxla" w:colFirst="0" w:colLast="0"/>
      <w:bookmarkEnd w:id="15"/>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w:t>
      </w:r>
      <w:proofErr w:type="gramStart"/>
      <w:r w:rsidRPr="00DE5FF8">
        <w:rPr>
          <w:bCs/>
        </w:rPr>
        <w:t>criteria</w:t>
      </w:r>
      <w:proofErr w:type="gramEnd"/>
      <w:r w:rsidRPr="00DE5FF8">
        <w:rPr>
          <w:bCs/>
        </w:rPr>
        <w:t xml:space="preserve">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7777777" w:rsidR="00DE5FF8" w:rsidRDefault="00DE5FF8">
            <w:pPr>
              <w:spacing w:after="0"/>
              <w:rPr>
                <w:color w:val="FFFFFF"/>
              </w:rPr>
            </w:pP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DE5FF8"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BC19982" w14:textId="27620A69" w:rsidR="00DE5FF8" w:rsidRDefault="005A0097">
            <w:pPr>
              <w:spacing w:after="0"/>
            </w:pPr>
            <w:r>
              <w:t>Self-conflicted names: Option B. These artificial conflicts have no benefit.</w:t>
            </w:r>
            <w:r w:rsidR="00ED1BE1">
              <w:t xml:space="preserve"> Remaining unregistered 2LDs should go to open registration.</w:t>
            </w:r>
          </w:p>
          <w:p w14:paraId="1E82AC78" w14:textId="77777777" w:rsidR="005A0097" w:rsidRDefault="005A0097">
            <w:pPr>
              <w:spacing w:after="0"/>
            </w:pPr>
          </w:p>
          <w:p w14:paraId="13F0FC19" w14:textId="04C6D5CF" w:rsidR="005A0097" w:rsidRPr="005A0097" w:rsidRDefault="005A0097">
            <w:pPr>
              <w:spacing w:after="0"/>
            </w:pPr>
            <w:r>
              <w:t xml:space="preserve">Other conflicted names: Option B, with the terminal case being an auction among </w:t>
            </w:r>
            <w:proofErr w:type="spellStart"/>
            <w:r>
              <w:t>conflictees</w:t>
            </w:r>
            <w:proofErr w:type="spellEnd"/>
            <w:r w:rsidR="00ED1BE1">
              <w:t xml:space="preserve">, or general release if no participant in the conflict </w:t>
            </w:r>
            <w:proofErr w:type="gramStart"/>
            <w:r w:rsidR="00ED1BE1">
              <w:t>actually wishes</w:t>
            </w:r>
            <w:proofErr w:type="gramEnd"/>
            <w:r w:rsidR="00ED1BE1">
              <w:t xml:space="preserve"> to register the name</w:t>
            </w:r>
            <w:r>
              <w:t>.</w:t>
            </w:r>
            <w:r w:rsidR="00ED1BE1">
              <w:t xml:space="preserve"> This creates a resolution and removes the concept of conflicted names. Creating a prohibited names list is no improvement over the current situation. Failing that, Option A, the status quo, presents no major problem and conflicts will likely lapse over time. Option C seems to have unworkable issues in formulating the priority list.</w:t>
            </w:r>
          </w:p>
        </w:tc>
      </w:tr>
    </w:tbl>
    <w:p w14:paraId="30E76A43" w14:textId="77777777" w:rsidR="00C664AE" w:rsidRDefault="00C664AE">
      <w:pPr>
        <w:ind w:left="720"/>
      </w:pPr>
    </w:p>
    <w:p w14:paraId="2D3C43DE" w14:textId="77777777" w:rsidR="00C664AE" w:rsidRDefault="009677AB" w:rsidP="00DE5FF8">
      <w:pPr>
        <w:pStyle w:val="Heading2"/>
      </w:pPr>
      <w:bookmarkStart w:id="16" w:name="_a6zayhbcvajm" w:colFirst="0" w:colLast="0"/>
      <w:bookmarkStart w:id="17" w:name="_9dpebq4m5gah" w:colFirst="0" w:colLast="0"/>
      <w:bookmarkEnd w:id="16"/>
      <w:bookmarkEnd w:id="17"/>
      <w:r>
        <w:t>Enhancing privacy across the .nz domain name system</w:t>
      </w:r>
    </w:p>
    <w:p w14:paraId="118C45C4" w14:textId="77777777" w:rsidR="00C664AE" w:rsidRDefault="009677AB" w:rsidP="0073472C">
      <w:pPr>
        <w:pStyle w:val="Heading3"/>
      </w:pPr>
      <w:bookmarkStart w:id="18" w:name="_k7it4t10wik" w:colFirst="0" w:colLast="0"/>
      <w:bookmarkStart w:id="19" w:name="_q63ryqp5tanv" w:colFirst="0" w:colLast="0"/>
      <w:bookmarkEnd w:id="18"/>
      <w:bookmarkEnd w:id="19"/>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210F2A5C" w:rsidR="00DE5FF8" w:rsidRDefault="00ED1BE1">
            <w:pPr>
              <w:spacing w:after="0"/>
              <w:rPr>
                <w:color w:val="FFFFFF"/>
              </w:rPr>
            </w:pPr>
            <w:r>
              <w:t>As individual registrants are frequently their own administrative contact, the IRPO has little actual impact</w:t>
            </w:r>
            <w:r w:rsidR="003C3FC6">
              <w:t xml:space="preserve"> on these registrations</w:t>
            </w:r>
            <w:r>
              <w:t>, and this is not addressed by the options.</w:t>
            </w:r>
            <w:r w:rsidR="004C0693">
              <w:t xml:space="preserve"> This may be one reason that the access process is little-used in those cases where it might be. While technical contact information </w:t>
            </w:r>
            <w:r w:rsidR="004C0693" w:rsidRPr="004C0693">
              <w:rPr>
                <w:i/>
                <w:iCs/>
              </w:rPr>
              <w:t>may</w:t>
            </w:r>
            <w:r w:rsidR="004C0693">
              <w:t xml:space="preserve"> conceivably be required urgently, the others cannot, and should be treated equivalently.</w:t>
            </w: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64E862BF" w:rsidR="00DE5FF8" w:rsidRPr="00B67EA0" w:rsidRDefault="00850A91">
            <w:pPr>
              <w:spacing w:after="0"/>
            </w:pPr>
            <w:r>
              <w:t>Option C, as t</w:t>
            </w:r>
            <w:r w:rsidR="00B67EA0">
              <w:t xml:space="preserve">here seems little reason to </w:t>
            </w:r>
            <w:r w:rsidR="008A2D79">
              <w:t xml:space="preserve">have a separate </w:t>
            </w:r>
            <w:r w:rsidR="00B67EA0">
              <w:t>opt</w:t>
            </w:r>
            <w:r w:rsidR="008A2D79">
              <w:t>-</w:t>
            </w:r>
            <w:r w:rsidR="00B67EA0">
              <w:t>in</w:t>
            </w:r>
            <w:r w:rsidR="008A2D79">
              <w:t xml:space="preserve"> process on top of simply declaring the domain to be registered in trade.</w:t>
            </w: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5A9C95" w14:textId="2FCB1D0F" w:rsidR="00DE5FF8" w:rsidRPr="004C0693" w:rsidRDefault="004C0693">
            <w:pPr>
              <w:spacing w:after="0"/>
            </w:pPr>
            <w:r>
              <w:t>All of them, but especially address and phone number.</w:t>
            </w:r>
          </w:p>
        </w:tc>
      </w:tr>
    </w:tbl>
    <w:p w14:paraId="27FF9C86" w14:textId="77777777" w:rsidR="00C664AE" w:rsidRDefault="00C664AE">
      <w:pPr>
        <w:ind w:left="720"/>
      </w:pPr>
    </w:p>
    <w:p w14:paraId="142484B8" w14:textId="77777777" w:rsidR="00C664AE" w:rsidRDefault="009677AB" w:rsidP="0073472C">
      <w:pPr>
        <w:pStyle w:val="Heading3"/>
      </w:pPr>
      <w:bookmarkStart w:id="20" w:name="_n021xqry5esw" w:colFirst="0" w:colLast="0"/>
      <w:bookmarkEnd w:id="20"/>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77777777" w:rsidR="00DE5FF8" w:rsidRDefault="00DE5FF8">
            <w:pPr>
              <w:spacing w:after="0"/>
              <w:rPr>
                <w:color w:val="FFFFFF"/>
              </w:rPr>
            </w:pP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6E03F148" w:rsidR="00DE5FF8" w:rsidRPr="004C0693" w:rsidRDefault="004C0693">
            <w:pPr>
              <w:spacing w:after="0"/>
            </w:pPr>
            <w:r>
              <w:t>Option C, if any change is necessitated by updates elsewhere, and otherwise option A.</w:t>
            </w:r>
          </w:p>
        </w:tc>
      </w:tr>
    </w:tbl>
    <w:p w14:paraId="7B7E5295" w14:textId="77777777" w:rsidR="00DE5FF8" w:rsidRPr="00DE5FF8" w:rsidRDefault="00DE5FF8" w:rsidP="00CC1437">
      <w:pPr>
        <w:pStyle w:val="Heading2"/>
      </w:pPr>
      <w:bookmarkStart w:id="21" w:name="_mryq6xy8mt6l" w:colFirst="0" w:colLast="0"/>
      <w:bookmarkStart w:id="22" w:name="_8b16zrfo5s9" w:colFirst="0" w:colLast="0"/>
      <w:bookmarkEnd w:id="0"/>
      <w:bookmarkEnd w:id="21"/>
      <w:bookmarkEnd w:id="22"/>
    </w:p>
    <w:sectPr w:rsidR="00DE5FF8" w:rsidRPr="00DE5FF8">
      <w:headerReference w:type="default" r:id="rId12"/>
      <w:footerReference w:type="default" r:id="rId13"/>
      <w:headerReference w:type="first" r:id="rId14"/>
      <w:footerReference w:type="first" r:id="rId15"/>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0A76" w14:textId="77777777" w:rsidR="0074596F" w:rsidRDefault="0074596F">
      <w:pPr>
        <w:spacing w:after="0" w:line="240" w:lineRule="auto"/>
      </w:pPr>
      <w:r>
        <w:separator/>
      </w:r>
    </w:p>
  </w:endnote>
  <w:endnote w:type="continuationSeparator" w:id="0">
    <w:p w14:paraId="34F76745" w14:textId="77777777" w:rsidR="0074596F" w:rsidRDefault="0074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F37AC0" w:rsidRDefault="00F37AC0">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F37AC0" w:rsidRDefault="00F37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F211" w14:textId="77777777" w:rsidR="0074596F" w:rsidRDefault="0074596F">
      <w:pPr>
        <w:spacing w:after="0" w:line="240" w:lineRule="auto"/>
      </w:pPr>
      <w:r>
        <w:separator/>
      </w:r>
    </w:p>
  </w:footnote>
  <w:footnote w:type="continuationSeparator" w:id="0">
    <w:p w14:paraId="16753BE7" w14:textId="77777777" w:rsidR="0074596F" w:rsidRDefault="0074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F37AC0" w:rsidRDefault="00F37AC0">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F37AC0" w:rsidRDefault="00F37AC0">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512DC1"/>
    <w:multiLevelType w:val="hybridMultilevel"/>
    <w:tmpl w:val="E2D0C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C12E0F"/>
    <w:multiLevelType w:val="hybridMultilevel"/>
    <w:tmpl w:val="721AC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7"/>
  </w:num>
  <w:num w:numId="17">
    <w:abstractNumId w:val="0"/>
  </w:num>
  <w:num w:numId="18">
    <w:abstractNumId w:val="24"/>
  </w:num>
  <w:num w:numId="19">
    <w:abstractNumId w:val="28"/>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 w:numId="28">
    <w:abstractNumId w:val="26"/>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0343A"/>
    <w:rsid w:val="0002571A"/>
    <w:rsid w:val="000423E1"/>
    <w:rsid w:val="000871E0"/>
    <w:rsid w:val="00087493"/>
    <w:rsid w:val="000978F6"/>
    <w:rsid w:val="000A602D"/>
    <w:rsid w:val="000B0982"/>
    <w:rsid w:val="000C1FDC"/>
    <w:rsid w:val="000D3B18"/>
    <w:rsid w:val="001062C5"/>
    <w:rsid w:val="001179BB"/>
    <w:rsid w:val="001766F9"/>
    <w:rsid w:val="00187EAD"/>
    <w:rsid w:val="001F7B82"/>
    <w:rsid w:val="0027321D"/>
    <w:rsid w:val="002B12A9"/>
    <w:rsid w:val="002C413D"/>
    <w:rsid w:val="002E5E4F"/>
    <w:rsid w:val="003502FF"/>
    <w:rsid w:val="0036515F"/>
    <w:rsid w:val="00381848"/>
    <w:rsid w:val="00387C9F"/>
    <w:rsid w:val="003C3FC6"/>
    <w:rsid w:val="003E2828"/>
    <w:rsid w:val="00425CE3"/>
    <w:rsid w:val="004559F2"/>
    <w:rsid w:val="00457B4D"/>
    <w:rsid w:val="004641FA"/>
    <w:rsid w:val="00466076"/>
    <w:rsid w:val="00490849"/>
    <w:rsid w:val="004A325D"/>
    <w:rsid w:val="004B61D4"/>
    <w:rsid w:val="004C0693"/>
    <w:rsid w:val="004E1FF8"/>
    <w:rsid w:val="0058171A"/>
    <w:rsid w:val="005A0097"/>
    <w:rsid w:val="0063002F"/>
    <w:rsid w:val="006447E7"/>
    <w:rsid w:val="00673567"/>
    <w:rsid w:val="006974B8"/>
    <w:rsid w:val="006D6622"/>
    <w:rsid w:val="006E727D"/>
    <w:rsid w:val="006F51C3"/>
    <w:rsid w:val="0073472C"/>
    <w:rsid w:val="0074596F"/>
    <w:rsid w:val="00746708"/>
    <w:rsid w:val="00787D05"/>
    <w:rsid w:val="00796F37"/>
    <w:rsid w:val="007F60A2"/>
    <w:rsid w:val="0083086B"/>
    <w:rsid w:val="00850A91"/>
    <w:rsid w:val="008A2D79"/>
    <w:rsid w:val="008E0F4A"/>
    <w:rsid w:val="00942A62"/>
    <w:rsid w:val="00947D0C"/>
    <w:rsid w:val="009572B7"/>
    <w:rsid w:val="009677AB"/>
    <w:rsid w:val="00974CDE"/>
    <w:rsid w:val="009A0EC0"/>
    <w:rsid w:val="00A12EE4"/>
    <w:rsid w:val="00A62B76"/>
    <w:rsid w:val="00A731BD"/>
    <w:rsid w:val="00AE282E"/>
    <w:rsid w:val="00B67EA0"/>
    <w:rsid w:val="00BC4A68"/>
    <w:rsid w:val="00BD64C9"/>
    <w:rsid w:val="00C664AE"/>
    <w:rsid w:val="00C74E9D"/>
    <w:rsid w:val="00CC1437"/>
    <w:rsid w:val="00CE193B"/>
    <w:rsid w:val="00D1259D"/>
    <w:rsid w:val="00D143C3"/>
    <w:rsid w:val="00D37290"/>
    <w:rsid w:val="00D4129F"/>
    <w:rsid w:val="00D64A72"/>
    <w:rsid w:val="00DE5FF8"/>
    <w:rsid w:val="00DF2836"/>
    <w:rsid w:val="00E263C2"/>
    <w:rsid w:val="00E934C7"/>
    <w:rsid w:val="00ED1BE1"/>
    <w:rsid w:val="00F015C6"/>
    <w:rsid w:val="00F02CFF"/>
    <w:rsid w:val="00F37AC0"/>
    <w:rsid w:val="00F42F49"/>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tnzreview@internetnz.net.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tnzreview@internetnz.net.nz" TargetMode="External"/><Relationship Id="rId4" Type="http://schemas.openxmlformats.org/officeDocument/2006/relationships/settings" Target="settings.xml"/><Relationship Id="rId9" Type="http://schemas.openxmlformats.org/officeDocument/2006/relationships/hyperlink" Target="https://internetnz.nz/nz-have-your-sa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2020-07-16T22:46:00Z</cp:lastPrinted>
  <dcterms:created xsi:type="dcterms:W3CDTF">2020-08-14T05:15:00Z</dcterms:created>
  <dcterms:modified xsi:type="dcterms:W3CDTF">2020-08-14T05:15:00Z</dcterms:modified>
</cp:coreProperties>
</file>